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EB" w:rsidRDefault="005A1A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5A1AEB" w:rsidRDefault="005A1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ФИНАНСОВЫМ РЫНКАМ</w:t>
      </w:r>
    </w:p>
    <w:p w:rsidR="005A1AEB" w:rsidRDefault="005A1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1AEB" w:rsidRDefault="005A1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5A1AEB" w:rsidRDefault="005A1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июня 2012 г. N 12-ЮБ-11/28291</w:t>
      </w:r>
    </w:p>
    <w:p w:rsidR="005A1AEB" w:rsidRDefault="005A1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1AEB" w:rsidRDefault="005A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Федеральная служба по финансовым рынкам (далее - ФСФР России) рассмотрела письмо по вопросам реализации изменений, внесенных в Градостроительный </w:t>
      </w:r>
      <w:hyperlink r:id="rId5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(далее - ГрК РФ)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28.11.2011 N 337-ФЗ "О внесении изменений в Градостроительный кодекс Российской Федерации и отдельные законодательные акты Российской Федерации", и в пределах своей компетенции сообщает следующее.</w:t>
      </w:r>
    </w:p>
    <w:p w:rsidR="005A1AEB" w:rsidRDefault="005A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действующей редакции </w:t>
      </w:r>
      <w:hyperlink r:id="rId7" w:history="1">
        <w:r>
          <w:rPr>
            <w:rFonts w:ascii="Calibri" w:hAnsi="Calibri" w:cs="Calibri"/>
            <w:color w:val="0000FF"/>
          </w:rPr>
          <w:t>статьи 60</w:t>
        </w:r>
      </w:hyperlink>
      <w:r>
        <w:rPr>
          <w:rFonts w:ascii="Calibri" w:hAnsi="Calibri" w:cs="Calibri"/>
        </w:rPr>
        <w:t xml:space="preserve"> ГрК РФ, возмещение вреда, причиненного вследствие недостатков работ по инженерным изысканиям, по подготовке проектной документации или по строительству, реконструкции, капитальному ремонту объекта капитального строительства осуществляется лицом, выполнившим такие работы.</w:t>
      </w:r>
    </w:p>
    <w:p w:rsidR="005A1AEB" w:rsidRDefault="005A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новой редакцией </w:t>
      </w:r>
      <w:hyperlink r:id="rId8" w:history="1">
        <w:r>
          <w:rPr>
            <w:rFonts w:ascii="Calibri" w:hAnsi="Calibri" w:cs="Calibri"/>
            <w:color w:val="0000FF"/>
          </w:rPr>
          <w:t>статьи 60</w:t>
        </w:r>
      </w:hyperlink>
      <w:r>
        <w:rPr>
          <w:rFonts w:ascii="Calibri" w:hAnsi="Calibri" w:cs="Calibri"/>
        </w:rPr>
        <w:t xml:space="preserve"> ГрК РФ, вступающей в силу с 01.07.2013, в случае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собственник такого здания, сооружения, если не докажет, что указанные разрушение, повреждение, нарушение возникли вследствие умысла потерпевшего, действий третьих лиц или чрезвычайного и непредотвратимого при данных условиях обстоятельства (непреодолимой силы), возмещает вред в соответствии с гражданским законодательством и выплачивает компенсацию сверх возмещения вреда.</w:t>
      </w:r>
    </w:p>
    <w:p w:rsidR="005A1AEB" w:rsidRDefault="005A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Собственник здания, сооружения, концессионер, застройщик, технический заказчик, которые возместили в соответствии с гражданским законодательством вред, причиненный вследствие разрушения, повреждения здания, сооружения либо части здания или сооружения, объекта незавершенного строительства, нарушения требований безопасности при строительстве объекта капитального строительства, требований к обеспечению безопасной эксплуатации здания, сооружения, и выплатили компенсацию сверх возмещения вреда, имеют право обратного требования (регресса) в размере возмещения вреда и выплаты компенсации сверх возмещения вреда к лицу, выполнившему соответствующие работы по инженерным изысканиям, подготовке проектной документации, по строительству, реконструкции, капитальному ремонту объекта капитального строительства, вследствие недостатков которых причинен вред </w:t>
      </w:r>
      <w:hyperlink r:id="rId9" w:history="1">
        <w:r>
          <w:rPr>
            <w:rFonts w:ascii="Calibri" w:hAnsi="Calibri" w:cs="Calibri"/>
            <w:color w:val="0000FF"/>
          </w:rPr>
          <w:t>(пункт 1 части 5 статьи 60)</w:t>
        </w:r>
      </w:hyperlink>
      <w:r>
        <w:rPr>
          <w:rFonts w:ascii="Calibri" w:hAnsi="Calibri" w:cs="Calibri"/>
        </w:rPr>
        <w:t>.</w:t>
      </w:r>
    </w:p>
    <w:p w:rsidR="005A1AEB" w:rsidRDefault="005A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по мнению ФСФР России, с 1 июля 2013 года:</w:t>
      </w:r>
    </w:p>
    <w:p w:rsidR="005A1AEB" w:rsidRDefault="005A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Страхование имущественных интересов вышеуказанных лиц, связанных с обязанностью возместить расходы, определенные </w:t>
      </w:r>
      <w:hyperlink r:id="rId10" w:history="1">
        <w:r>
          <w:rPr>
            <w:rFonts w:ascii="Calibri" w:hAnsi="Calibri" w:cs="Calibri"/>
            <w:color w:val="0000FF"/>
          </w:rPr>
          <w:t>частью 5 статьи 60</w:t>
        </w:r>
      </w:hyperlink>
      <w:r>
        <w:rPr>
          <w:rFonts w:ascii="Calibri" w:hAnsi="Calibri" w:cs="Calibri"/>
        </w:rPr>
        <w:t xml:space="preserve"> ГрК РФ, согласно существующей классификации видов страхования, может осуществляться в рамках страхования финансовых рисков;</w:t>
      </w:r>
    </w:p>
    <w:p w:rsidR="005A1AEB" w:rsidRDefault="005A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Лица, жизни, здоровью и/или имуществу которых причинен вред в результате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сооружения, не вправе предъявлять требования к страховщикам, застраховавшим имущественные интересы лиц, выполняющих инженерные изыскания, осуществляющих подготовку проектной документации и строительство;</w:t>
      </w:r>
    </w:p>
    <w:p w:rsidR="005A1AEB" w:rsidRDefault="005A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Согласно </w:t>
      </w:r>
      <w:hyperlink r:id="rId11" w:history="1">
        <w:r>
          <w:rPr>
            <w:rFonts w:ascii="Calibri" w:hAnsi="Calibri" w:cs="Calibri"/>
            <w:color w:val="0000FF"/>
          </w:rPr>
          <w:t>пункту 1 статьи 965</w:t>
        </w:r>
      </w:hyperlink>
      <w:r>
        <w:rPr>
          <w:rFonts w:ascii="Calibri" w:hAnsi="Calibri" w:cs="Calibri"/>
        </w:rPr>
        <w:t xml:space="preserve"> Гражданского кодекса Российской Федерации, если договором имущественного страхования не предусмотрено иное, к страховщику, выплатившему страховое возмещение, переходит в пределах выплаченной суммы право требования, которое страхователь (выгодоприобретатель) имеет к лицу, ответственному за убытки, возмещенные в результате страхования.</w:t>
      </w:r>
    </w:p>
    <w:p w:rsidR="005A1AEB" w:rsidRDefault="005A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пунктом 5 статьи 60</w:t>
        </w:r>
      </w:hyperlink>
      <w:r>
        <w:rPr>
          <w:rFonts w:ascii="Calibri" w:hAnsi="Calibri" w:cs="Calibri"/>
        </w:rPr>
        <w:t xml:space="preserve"> ГрК РФ собственник здания имеет право требования к лицам, выполнившим инженерные изыскания, осуществлявшим подготовку проектной документации и строительство.</w:t>
      </w:r>
    </w:p>
    <w:p w:rsidR="005A1AEB" w:rsidRDefault="005A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учетом изложенного полагаем, что к страховщику, выплатившему страховое возмещение </w:t>
      </w:r>
      <w:r>
        <w:rPr>
          <w:rFonts w:ascii="Calibri" w:hAnsi="Calibri" w:cs="Calibri"/>
        </w:rPr>
        <w:lastRenderedPageBreak/>
        <w:t xml:space="preserve">по договорам страхования ответственности лиц, указанных в </w:t>
      </w:r>
      <w:hyperlink r:id="rId13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r:id="rId14" w:history="1">
        <w:r>
          <w:rPr>
            <w:rFonts w:ascii="Calibri" w:hAnsi="Calibri" w:cs="Calibri"/>
            <w:color w:val="0000FF"/>
          </w:rPr>
          <w:t>3 статьи 60</w:t>
        </w:r>
      </w:hyperlink>
      <w:r>
        <w:rPr>
          <w:rFonts w:ascii="Calibri" w:hAnsi="Calibri" w:cs="Calibri"/>
        </w:rPr>
        <w:t xml:space="preserve"> ГрК РФ, переходит право требования, определенное в </w:t>
      </w:r>
      <w:hyperlink r:id="rId15" w:history="1">
        <w:r>
          <w:rPr>
            <w:rFonts w:ascii="Calibri" w:hAnsi="Calibri" w:cs="Calibri"/>
            <w:color w:val="0000FF"/>
          </w:rPr>
          <w:t>пункте 5 статьи 60</w:t>
        </w:r>
      </w:hyperlink>
      <w:r>
        <w:rPr>
          <w:rFonts w:ascii="Calibri" w:hAnsi="Calibri" w:cs="Calibri"/>
        </w:rPr>
        <w:t xml:space="preserve"> ГрК РФ.</w:t>
      </w:r>
    </w:p>
    <w:p w:rsidR="005A1AEB" w:rsidRDefault="005A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Обращаем внимание, что, согласно </w:t>
      </w:r>
      <w:hyperlink r:id="rId16" w:history="1">
        <w:r>
          <w:rPr>
            <w:rFonts w:ascii="Calibri" w:hAnsi="Calibri" w:cs="Calibri"/>
            <w:color w:val="0000FF"/>
          </w:rPr>
          <w:t>статье 35</w:t>
        </w:r>
      </w:hyperlink>
      <w:r>
        <w:rPr>
          <w:rFonts w:ascii="Calibri" w:hAnsi="Calibri" w:cs="Calibri"/>
        </w:rPr>
        <w:t xml:space="preserve"> Закона Российской Федерации от 27.11.1992 N 4015-1 "Об организации страхового дела в Российской Федерации", споры, связанные со страхованием, разрешаются судом, арбитражным судом или третейским судом в соответствии с их компетенцией.</w:t>
      </w:r>
    </w:p>
    <w:p w:rsidR="005A1AEB" w:rsidRDefault="005A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1AEB" w:rsidRDefault="005A1A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Ю.Э.БОНДАРЕВА</w:t>
      </w:r>
    </w:p>
    <w:p w:rsidR="005A1AEB" w:rsidRDefault="005A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1AEB" w:rsidRDefault="005A1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1AEB" w:rsidRDefault="005A1AE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93B50" w:rsidRDefault="00393B50">
      <w:bookmarkStart w:id="0" w:name="_GoBack"/>
      <w:bookmarkEnd w:id="0"/>
    </w:p>
    <w:sectPr w:rsidR="00393B50" w:rsidSect="0061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EB"/>
    <w:rsid w:val="00393B50"/>
    <w:rsid w:val="005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CFB56152D4601461FAEC6A54AEEAE780B8EFC2D0C091F5910CEBC805F10EC4BF54BD1093DD561iAwEL" TargetMode="External"/><Relationship Id="rId13" Type="http://schemas.openxmlformats.org/officeDocument/2006/relationships/hyperlink" Target="consultantplus://offline/ref=08DCFB56152D4601461FAEC6A54AEEAE780B8EFC2D0C091F5910CEBC805F10EC4BF54BD1093DD566iAwE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DCFB56152D4601461FAEC6A54AEEAE780D8BFD2C0F091F5910CEBC805F10EC4BF54BD1093CD46AiAw6L" TargetMode="External"/><Relationship Id="rId12" Type="http://schemas.openxmlformats.org/officeDocument/2006/relationships/hyperlink" Target="consultantplus://offline/ref=08DCFB56152D4601461FAEC6A54AEEAE780B8EFC2D0C091F5910CEBC805F10EC4BF54BD1093DD561iAw7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DCFB56152D4601461FAEC6A54AEEAE780C8CFE2E0E091F5910CEBC805F10EC4BF54BD1093DD560iAw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DCFB56152D4601461FAEC6A54AEEAE780B8EFC2D0C091F5910CEBC80i5wFL" TargetMode="External"/><Relationship Id="rId11" Type="http://schemas.openxmlformats.org/officeDocument/2006/relationships/hyperlink" Target="consultantplus://offline/ref=08DCFB56152D4601461FAEC6A54AEEAE780D84F82A04091F5910CEBC805F10EC4BF54BD1093FD664iAwCL" TargetMode="External"/><Relationship Id="rId5" Type="http://schemas.openxmlformats.org/officeDocument/2006/relationships/hyperlink" Target="consultantplus://offline/ref=08DCFB56152D4601461FAEC6A54AEEAE780D8BFD2C0F091F5910CEBC80i5wFL" TargetMode="External"/><Relationship Id="rId15" Type="http://schemas.openxmlformats.org/officeDocument/2006/relationships/hyperlink" Target="consultantplus://offline/ref=08DCFB56152D4601461FAEC6A54AEEAE780B8EFC2D0C091F5910CEBC805F10EC4BF54BD1093DD561iAw7L" TargetMode="External"/><Relationship Id="rId10" Type="http://schemas.openxmlformats.org/officeDocument/2006/relationships/hyperlink" Target="consultantplus://offline/ref=08DCFB56152D4601461FAEC6A54AEEAE780B8EFC2D0C091F5910CEBC805F10EC4BF54BD1093DD561iAw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DCFB56152D4601461FAEC6A54AEEAE780B8EFC2D0C091F5910CEBC805F10EC4BF54BD1093DD566iAwEL" TargetMode="External"/><Relationship Id="rId14" Type="http://schemas.openxmlformats.org/officeDocument/2006/relationships/hyperlink" Target="consultantplus://offline/ref=08DCFB56152D4601461FAEC6A54AEEAE780B8EFC2D0C091F5910CEBC805F10EC4BF54BD1093DD566iAw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 Александр Сабитович</dc:creator>
  <cp:lastModifiedBy>Жалимов Александр Сабитович</cp:lastModifiedBy>
  <cp:revision>1</cp:revision>
  <dcterms:created xsi:type="dcterms:W3CDTF">2013-09-18T11:48:00Z</dcterms:created>
  <dcterms:modified xsi:type="dcterms:W3CDTF">2013-09-18T11:50:00Z</dcterms:modified>
</cp:coreProperties>
</file>