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  <w:bookmarkStart w:id="0" w:name="_GoBack"/>
      <w:bookmarkEnd w:id="0"/>
    </w:p>
    <w:p w:rsidR="00026E3D" w:rsidRPr="00026E3D" w:rsidRDefault="00026E3D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Постановление Правительства РФ от 28.09.2015 </w:t>
        </w:r>
        <w:r w:rsidRPr="00026E3D">
          <w:rPr>
            <w:rStyle w:val="hyperlinkchar"/>
            <w:b/>
            <w:bCs/>
            <w:color w:val="0070C0"/>
            <w:sz w:val="27"/>
            <w:szCs w:val="27"/>
            <w:lang w:val="en-US"/>
          </w:rPr>
          <w:t>N</w:t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 1029</w:t>
        </w:r>
        <w:r w:rsidRPr="00026E3D">
          <w:rPr>
            <w:rStyle w:val="hyperlinkchar"/>
            <w:color w:val="0070C0"/>
            <w:sz w:val="27"/>
            <w:szCs w:val="27"/>
            <w:lang w:val="en-US"/>
          </w:rPr>
          <w:t> </w:t>
        </w:r>
        <w:r w:rsidRPr="00026E3D">
          <w:rPr>
            <w:rStyle w:val="hyperlinkchar"/>
            <w:color w:val="0070C0"/>
            <w:sz w:val="27"/>
            <w:szCs w:val="27"/>
          </w:rPr>
          <w:br/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"Об утверждении критериев отнесения объектов, оказывающих негативное воздействие на окружающую среду, к объектам </w:t>
        </w:r>
        <w:r w:rsidRPr="00026E3D">
          <w:rPr>
            <w:rStyle w:val="hyperlinkchar"/>
            <w:b/>
            <w:bCs/>
            <w:color w:val="0070C0"/>
            <w:sz w:val="27"/>
            <w:szCs w:val="27"/>
            <w:lang w:val="en-US"/>
          </w:rPr>
          <w:t>I</w:t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, </w:t>
        </w:r>
        <w:r w:rsidRPr="00026E3D">
          <w:rPr>
            <w:rStyle w:val="hyperlinkchar"/>
            <w:b/>
            <w:bCs/>
            <w:color w:val="0070C0"/>
            <w:sz w:val="27"/>
            <w:szCs w:val="27"/>
            <w:lang w:val="en-US"/>
          </w:rPr>
          <w:t>II</w:t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, </w:t>
        </w:r>
        <w:r w:rsidRPr="00026E3D">
          <w:rPr>
            <w:rStyle w:val="hyperlinkchar"/>
            <w:b/>
            <w:bCs/>
            <w:color w:val="0070C0"/>
            <w:sz w:val="27"/>
            <w:szCs w:val="27"/>
            <w:lang w:val="en-US"/>
          </w:rPr>
          <w:t>III</w:t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 и </w:t>
        </w:r>
        <w:r w:rsidRPr="00026E3D">
          <w:rPr>
            <w:rStyle w:val="hyperlinkchar"/>
            <w:b/>
            <w:bCs/>
            <w:color w:val="0070C0"/>
            <w:sz w:val="27"/>
            <w:szCs w:val="27"/>
            <w:lang w:val="en-US"/>
          </w:rPr>
          <w:t>IV</w:t>
        </w:r>
        <w:r w:rsidRPr="00026E3D">
          <w:rPr>
            <w:rStyle w:val="hyperlinkchar"/>
            <w:b/>
            <w:bCs/>
            <w:color w:val="0070C0"/>
            <w:sz w:val="27"/>
            <w:szCs w:val="27"/>
          </w:rPr>
          <w:t xml:space="preserve"> категорий"</w:t>
        </w:r>
      </w:hyperlink>
    </w:p>
    <w:p w:rsidR="00026E3D" w:rsidRPr="00026E3D" w:rsidRDefault="00026E3D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026E3D" w:rsidRDefault="00026E3D" w:rsidP="00026E3D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Установлены критерии отнесения объектов, оказывающих негативное воздействие на окружающую среду, к объектам I, II, III и IV категорий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объектам I категории опасности относятся объекты, оказывающие значительное негативное воздействие на окружающую среду, в частности, осуществляющие деятельность по производству кокса, нефтепродуктов.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критериям отнесения объектов к объектам II категории опасности, оказывающих умеренное негативное воздействие на окружающую среду, отнесена, в частности, деятельность по добыче и подготовке руд и песков драгоценных металлов, оловянных руд, титановых руд, хромовых руд на рассыпных месторождениях.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объектам III категории, то есть оказывающим незначительное негативное воздействие на окружающую среду, отнесена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>
        <w:rPr>
          <w:color w:val="000000"/>
          <w:sz w:val="27"/>
          <w:szCs w:val="27"/>
        </w:rPr>
        <w:t>радионуклидные</w:t>
      </w:r>
      <w:proofErr w:type="spellEnd"/>
      <w:r>
        <w:rPr>
          <w:color w:val="000000"/>
          <w:sz w:val="27"/>
          <w:szCs w:val="27"/>
        </w:rPr>
        <w:t xml:space="preserve"> источники четвертой и пятой категории.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объектам IV категории будут отнесены объекты при наличии одновременно следующих критериев: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 на объекте стационарных  источников загрязнения окружающей  среды, масса загрязняющих веществ  в </w:t>
      </w:r>
      <w:proofErr w:type="gramStart"/>
      <w:r>
        <w:rPr>
          <w:color w:val="000000"/>
          <w:sz w:val="27"/>
          <w:szCs w:val="27"/>
        </w:rPr>
        <w:t>выбросах</w:t>
      </w:r>
      <w:proofErr w:type="gramEnd"/>
      <w:r>
        <w:rPr>
          <w:color w:val="000000"/>
          <w:sz w:val="27"/>
          <w:szCs w:val="27"/>
        </w:rPr>
        <w:t xml:space="preserve"> в атмосферный воздух которых не превышает 10 тонн в год, при отсутствии выбросов веществ I, II классов опасности, радиоактивных веществ;</w:t>
      </w:r>
    </w:p>
    <w:p w:rsidR="00026E3D" w:rsidRDefault="00026E3D" w:rsidP="00026E3D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отсутствие сбросов загрязняющих  веществ в составе сточных  вод в централизованные системы  водоотведения, другие сооружения  и системы отведения и очистки  сточных вод,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7D46D0" w:rsidRPr="007D46D0" w:rsidRDefault="007D46D0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sectPr w:rsidR="007D46D0" w:rsidRPr="007D4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77" w:rsidRDefault="00AC5277" w:rsidP="008D057A">
      <w:r>
        <w:separator/>
      </w:r>
    </w:p>
  </w:endnote>
  <w:endnote w:type="continuationSeparator" w:id="0">
    <w:p w:rsidR="00AC5277" w:rsidRDefault="00AC5277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77" w:rsidRDefault="00AC5277" w:rsidP="008D057A">
      <w:r>
        <w:separator/>
      </w:r>
    </w:p>
  </w:footnote>
  <w:footnote w:type="continuationSeparator" w:id="0">
    <w:p w:rsidR="00AC5277" w:rsidRDefault="00AC5277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4E7F51"/>
    <w:rsid w:val="005660E4"/>
    <w:rsid w:val="006E1EB8"/>
    <w:rsid w:val="007D46D0"/>
    <w:rsid w:val="008D057A"/>
    <w:rsid w:val="008F4CD9"/>
    <w:rsid w:val="009B0A18"/>
    <w:rsid w:val="00AC5277"/>
    <w:rsid w:val="00C3412D"/>
    <w:rsid w:val="00D5585A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GwXyXafSfZteF7Q1Se-Ke_BjVmV3ZbwnL2OaJbWbUt7OAdCUc-PSCGgAdAB0AHAAOgAvAC8AdwB3AHcALgBjAG8AbgBzAHUAbAB0AGEAbgB0AC4AcgB1AC8AYwBhAGIAaQBuAGUAdAAvAHMAdABhAHQALwBmAGQALwAyADAAMQA1AC0AMQAwAC0AMAAyAC8AYwBsAGkAYwBrAC8AYwBvAG4AcwB1AGwAdABhAG4AdAAvAD8AZABzAHQAPQBoAHQAdABwACUAMwBBACUAMgBGACUAMgBGAHcAdwB3AC4AYwBvAG4AcwB1AGwAdABhAG4AdAAuAHIAdQAlADIARgBkAG8AYwB1AG0AZQBuAHQAJQAyAEYAYwBvAG4AcwBfAGQAbwBjAF8ATABBAFcAXwAxADgANgA2ADkAMw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2%2fclick%2fconsultant%2f%3fdst%3dhttp%253A%252F%252Fwww.consultant.ru%252Fdocument%252Fcons_doc_LAW_186693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95F-4F0B-4FCF-9D06-D21C9AAF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2015-11-02T11:18:00Z</dcterms:created>
  <dcterms:modified xsi:type="dcterms:W3CDTF">2015-11-02T11:18:00Z</dcterms:modified>
</cp:coreProperties>
</file>