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D0" w:rsidRPr="007D46D0" w:rsidRDefault="007D46D0" w:rsidP="00290F5F">
      <w:pPr>
        <w:pStyle w:val="normal00200028web0029"/>
        <w:spacing w:beforeAutospacing="0" w:afterAutospacing="0" w:line="240" w:lineRule="atLeast"/>
        <w:rPr>
          <w:rStyle w:val="hyperlinkchar"/>
          <w:b/>
          <w:bCs/>
          <w:color w:val="0070C0"/>
          <w:sz w:val="27"/>
          <w:szCs w:val="27"/>
          <w:lang w:val="en-US"/>
        </w:rPr>
      </w:pPr>
    </w:p>
    <w:p w:rsidR="007D46D0" w:rsidRPr="007D46D0" w:rsidRDefault="007D46D0" w:rsidP="007D46D0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  <w:hyperlink r:id="rId9" w:tgtFrame="_blank" w:history="1">
        <w:r w:rsidRPr="007D46D0">
          <w:rPr>
            <w:rStyle w:val="hyperlinkchar"/>
            <w:b/>
            <w:bCs/>
            <w:color w:val="0070C0"/>
            <w:sz w:val="27"/>
            <w:szCs w:val="27"/>
          </w:rPr>
          <w:t>Приказ Минэкономразвития России от 21.09.2015 N 664 </w:t>
        </w:r>
        <w:r w:rsidRPr="007D46D0">
          <w:rPr>
            <w:rStyle w:val="hyperlinkchar"/>
            <w:b/>
            <w:bCs/>
            <w:color w:val="0070C0"/>
            <w:sz w:val="27"/>
            <w:szCs w:val="27"/>
          </w:rPr>
          <w:br/>
          <w:t>"О внесении изменений в состав сведений кадастровых карт, утвержденный Приказом Минэкономразвития России от 19 октября 2009 г. N 416"  Зарегистрировано в Минюсте России 22.10.2015 N 39434.</w:t>
        </w:r>
      </w:hyperlink>
    </w:p>
    <w:p w:rsidR="00010C02" w:rsidRDefault="00010C02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lang w:val="en-US"/>
        </w:rPr>
      </w:pPr>
    </w:p>
    <w:p w:rsidR="007D46D0" w:rsidRDefault="007D46D0" w:rsidP="007D46D0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Уточнен состав сведений, воспроизводимых на публичных кадастровых картах</w:t>
      </w:r>
    </w:p>
    <w:p w:rsidR="007D46D0" w:rsidRDefault="007D46D0" w:rsidP="007D46D0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состав таких сведе</w:t>
      </w:r>
      <w:r>
        <w:rPr>
          <w:color w:val="000000"/>
          <w:sz w:val="27"/>
          <w:szCs w:val="27"/>
        </w:rPr>
        <w:t>ний включены сведения о пунктах</w:t>
      </w:r>
      <w:r w:rsidRPr="007D46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государственных геодезических се</w:t>
      </w:r>
      <w:r>
        <w:rPr>
          <w:color w:val="000000"/>
          <w:sz w:val="27"/>
          <w:szCs w:val="27"/>
        </w:rPr>
        <w:t>тей, не отнесенные к сведениям,</w:t>
      </w:r>
      <w:r w:rsidRPr="007D46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составляющим государственную тайну.</w:t>
      </w:r>
    </w:p>
    <w:p w:rsidR="007D46D0" w:rsidRDefault="007D46D0" w:rsidP="007D46D0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Также на публичных кадастровых картах воспроизводятся сведения, содержащиеся в решении об утверждении схемы расположения земельного участка и схеме земельного участка, условный номер, проектная площадь каждого образуемого земельного участка (если предусматривается образование двух и более земельных участков), адреса (или иное описание местоположения), границы каждого образуемого участ</w:t>
      </w:r>
      <w:bookmarkStart w:id="0" w:name="_GoBack"/>
      <w:bookmarkEnd w:id="0"/>
      <w:r>
        <w:rPr>
          <w:color w:val="000000"/>
          <w:sz w:val="27"/>
          <w:szCs w:val="27"/>
        </w:rPr>
        <w:t>ка, наименование вида документа об утверждении схемы расположения земельного участка и границы особых экономических зон.</w:t>
      </w:r>
      <w:proofErr w:type="gramEnd"/>
    </w:p>
    <w:p w:rsidR="007D46D0" w:rsidRPr="007D46D0" w:rsidRDefault="007D46D0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sectPr w:rsidR="007D46D0" w:rsidRPr="007D4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FD" w:rsidRDefault="00614FFD" w:rsidP="008D057A">
      <w:r>
        <w:separator/>
      </w:r>
    </w:p>
  </w:endnote>
  <w:endnote w:type="continuationSeparator" w:id="0">
    <w:p w:rsidR="00614FFD" w:rsidRDefault="00614FFD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FD" w:rsidRDefault="00614FFD" w:rsidP="008D057A">
      <w:r>
        <w:separator/>
      </w:r>
    </w:p>
  </w:footnote>
  <w:footnote w:type="continuationSeparator" w:id="0">
    <w:p w:rsidR="00614FFD" w:rsidRDefault="00614FFD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B1EDE"/>
    <w:rsid w:val="0017450A"/>
    <w:rsid w:val="00205F41"/>
    <w:rsid w:val="00290F5F"/>
    <w:rsid w:val="004E7F51"/>
    <w:rsid w:val="005660E4"/>
    <w:rsid w:val="00614FFD"/>
    <w:rsid w:val="006E1EB8"/>
    <w:rsid w:val="007D46D0"/>
    <w:rsid w:val="008D057A"/>
    <w:rsid w:val="008F4CD9"/>
    <w:rsid w:val="009B0A18"/>
    <w:rsid w:val="00D5585A"/>
    <w:rsid w:val="00D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CtOM2oow3SAjQ7WN4l4EabQXXACJfpmVgyqZUJXosavOAdCUc-PSCGgAdAB0AHAAOgAvAC8AdwB3AHcALgBjAG8AbgBzAHUAbAB0AGEAbgB0AC4AcgB1AC8AYwBhAGIAaQBuAGUAdAAvAHMAdABhAHQALwBmAGQALwAyADAAMQA1AC0AMQAwAC0AMgA4AC8AYwBsAGkAYwBrAC8AYwBvAG4AcwB1AGwAdABhAG4AdAAvAD8AZABzAHQAPQBoAHQAdABwACUAMwBBACUAMgBGACUAMgBGAHcAdwB3AC4AYwBvAG4AcwB1AGwAdABhAG4AdAAuAHIAdQAlADIARgBkAG8AYwB1AG0AZQBuAHQAJQAyAEYAYwBvAG4AcwBfAGQAbwBjAF8ATABBAFcAXwAxADgAOAAwADAAOQ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28%2fclick%2fconsultant%2f%3fdst%3dhttp%253A%252F%252Fwww.consultant.ru%252Fdocument%252Fcons_doc_LAW_188009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F569-A451-43D1-9AA9-85E6B210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2</cp:revision>
  <dcterms:created xsi:type="dcterms:W3CDTF">2015-11-02T11:12:00Z</dcterms:created>
  <dcterms:modified xsi:type="dcterms:W3CDTF">2015-11-02T11:12:00Z</dcterms:modified>
</cp:coreProperties>
</file>